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4" w:rsidRPr="00130A73" w:rsidRDefault="004A4C83">
      <w:pPr>
        <w:rPr>
          <w:sz w:val="24"/>
          <w:szCs w:val="24"/>
        </w:rPr>
      </w:pPr>
      <w:r w:rsidRPr="00130A73">
        <w:rPr>
          <w:sz w:val="24"/>
          <w:szCs w:val="24"/>
        </w:rPr>
        <w:t xml:space="preserve">A message from </w:t>
      </w:r>
      <w:bookmarkStart w:id="0" w:name="_GoBack"/>
      <w:bookmarkEnd w:id="0"/>
      <w:r w:rsidRPr="00130A73">
        <w:rPr>
          <w:sz w:val="24"/>
          <w:szCs w:val="24"/>
        </w:rPr>
        <w:t>Joy’s Financial Secretaries, Jim Flatz and Ed Glaubitz.</w:t>
      </w:r>
    </w:p>
    <w:p w:rsidR="004A4C83" w:rsidRPr="00130A73" w:rsidRDefault="004A4C83">
      <w:pPr>
        <w:rPr>
          <w:sz w:val="24"/>
          <w:szCs w:val="24"/>
        </w:rPr>
      </w:pPr>
      <w:r w:rsidRPr="00130A73">
        <w:rPr>
          <w:sz w:val="24"/>
          <w:szCs w:val="24"/>
        </w:rPr>
        <w:t>The duties of the financial secretary are 3 fold:</w:t>
      </w:r>
    </w:p>
    <w:p w:rsidR="004A4C83" w:rsidRPr="00130A73" w:rsidRDefault="004A4C83" w:rsidP="004A4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A73">
        <w:rPr>
          <w:sz w:val="24"/>
          <w:szCs w:val="24"/>
        </w:rPr>
        <w:t>Document all the deposits (income) that comes into Joy</w:t>
      </w:r>
    </w:p>
    <w:p w:rsidR="004A4C83" w:rsidRPr="00130A73" w:rsidRDefault="004A4C83" w:rsidP="004A4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A73">
        <w:rPr>
          <w:sz w:val="24"/>
          <w:szCs w:val="24"/>
        </w:rPr>
        <w:t>Indicate how that money will be used  as directed by your request</w:t>
      </w:r>
    </w:p>
    <w:p w:rsidR="004A4C83" w:rsidRPr="00130A73" w:rsidRDefault="004A4C83" w:rsidP="004A4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A73">
        <w:rPr>
          <w:sz w:val="24"/>
          <w:szCs w:val="24"/>
        </w:rPr>
        <w:t>Post the various donations to the individual’s giving statement</w:t>
      </w:r>
    </w:p>
    <w:p w:rsidR="00A34DC5" w:rsidRPr="00130A73" w:rsidRDefault="004A4C83" w:rsidP="004A4C83">
      <w:pPr>
        <w:rPr>
          <w:sz w:val="24"/>
          <w:szCs w:val="24"/>
        </w:rPr>
      </w:pPr>
      <w:r w:rsidRPr="00130A73">
        <w:rPr>
          <w:sz w:val="24"/>
          <w:szCs w:val="24"/>
        </w:rPr>
        <w:t>Deposits are divided into 3 categories</w:t>
      </w:r>
      <w:r w:rsidR="00A34DC5" w:rsidRPr="00130A73">
        <w:rPr>
          <w:sz w:val="24"/>
          <w:szCs w:val="24"/>
        </w:rPr>
        <w:t>:</w:t>
      </w:r>
    </w:p>
    <w:p w:rsidR="00A34DC5" w:rsidRPr="00130A73" w:rsidRDefault="00A34DC5" w:rsidP="00A34D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0A73">
        <w:rPr>
          <w:sz w:val="24"/>
          <w:szCs w:val="24"/>
        </w:rPr>
        <w:t>Plate offering</w:t>
      </w:r>
      <w:r w:rsidR="00E86776" w:rsidRPr="00130A73">
        <w:rPr>
          <w:sz w:val="24"/>
          <w:szCs w:val="24"/>
        </w:rPr>
        <w:t xml:space="preserve"> during the Sunday service or mailed to Joy</w:t>
      </w:r>
    </w:p>
    <w:p w:rsidR="00A34DC5" w:rsidRPr="00130A73" w:rsidRDefault="00A34DC5" w:rsidP="00A34D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0A73">
        <w:rPr>
          <w:sz w:val="24"/>
          <w:szCs w:val="24"/>
        </w:rPr>
        <w:t>3rd party checks mailed or direct deposited to Joy</w:t>
      </w:r>
    </w:p>
    <w:p w:rsidR="004A4C83" w:rsidRPr="00130A73" w:rsidRDefault="00A34DC5" w:rsidP="00A34D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0A73">
        <w:rPr>
          <w:sz w:val="24"/>
          <w:szCs w:val="24"/>
        </w:rPr>
        <w:t>Electronic</w:t>
      </w:r>
      <w:r w:rsidR="004A4C83" w:rsidRPr="00130A73">
        <w:rPr>
          <w:sz w:val="24"/>
          <w:szCs w:val="24"/>
        </w:rPr>
        <w:t xml:space="preserve"> </w:t>
      </w:r>
      <w:r w:rsidRPr="00130A73">
        <w:rPr>
          <w:sz w:val="24"/>
          <w:szCs w:val="24"/>
        </w:rPr>
        <w:t xml:space="preserve"> bank or credit card transactions via </w:t>
      </w:r>
      <w:proofErr w:type="spellStart"/>
      <w:r w:rsidRPr="00130A73">
        <w:rPr>
          <w:sz w:val="24"/>
          <w:szCs w:val="24"/>
        </w:rPr>
        <w:t>Vanco</w:t>
      </w:r>
      <w:proofErr w:type="spellEnd"/>
      <w:r w:rsidR="004A4C83" w:rsidRPr="00130A73">
        <w:rPr>
          <w:sz w:val="24"/>
          <w:szCs w:val="24"/>
        </w:rPr>
        <w:t xml:space="preserve"> </w:t>
      </w:r>
    </w:p>
    <w:p w:rsidR="00A34DC5" w:rsidRPr="00130A73" w:rsidRDefault="00A34DC5" w:rsidP="00A34DC5">
      <w:pPr>
        <w:ind w:left="38"/>
        <w:rPr>
          <w:sz w:val="24"/>
          <w:szCs w:val="24"/>
        </w:rPr>
      </w:pPr>
      <w:r w:rsidRPr="00130A73">
        <w:rPr>
          <w:sz w:val="24"/>
          <w:szCs w:val="24"/>
        </w:rPr>
        <w:t xml:space="preserve">The numbers below indicate how we have done </w:t>
      </w:r>
      <w:r w:rsidR="00E86776" w:rsidRPr="00130A73">
        <w:rPr>
          <w:sz w:val="24"/>
          <w:szCs w:val="24"/>
        </w:rPr>
        <w:t xml:space="preserve">YTD </w:t>
      </w:r>
      <w:r w:rsidRPr="00130A73">
        <w:rPr>
          <w:sz w:val="24"/>
          <w:szCs w:val="24"/>
        </w:rPr>
        <w:t xml:space="preserve">during these difficult </w:t>
      </w:r>
      <w:r w:rsidR="00BF39C4" w:rsidRPr="00130A73">
        <w:rPr>
          <w:sz w:val="24"/>
          <w:szCs w:val="24"/>
        </w:rPr>
        <w:t>times dealing with the</w:t>
      </w:r>
      <w:r w:rsidR="00E86776" w:rsidRPr="00130A73">
        <w:rPr>
          <w:sz w:val="24"/>
          <w:szCs w:val="24"/>
        </w:rPr>
        <w:t xml:space="preserve"> Covid-19 pandemic and comparing them to last year’s figures YTD.</w:t>
      </w:r>
    </w:p>
    <w:tbl>
      <w:tblPr>
        <w:tblStyle w:val="TableGrid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420"/>
        <w:gridCol w:w="1350"/>
        <w:gridCol w:w="1350"/>
        <w:gridCol w:w="1350"/>
        <w:gridCol w:w="1350"/>
        <w:gridCol w:w="1350"/>
        <w:gridCol w:w="1440"/>
      </w:tblGrid>
      <w:tr w:rsidR="00307806" w:rsidRPr="00130A73" w:rsidTr="00A83A24"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806" w:rsidRPr="00130A73" w:rsidRDefault="0030780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07806" w:rsidRPr="00130A73" w:rsidRDefault="00307806" w:rsidP="00BF39C4">
            <w:pPr>
              <w:jc w:val="center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Plate Offering</w:t>
            </w:r>
          </w:p>
        </w:tc>
        <w:tc>
          <w:tcPr>
            <w:tcW w:w="1350" w:type="dxa"/>
          </w:tcPr>
          <w:p w:rsidR="00307806" w:rsidRPr="00130A73" w:rsidRDefault="00307806" w:rsidP="00BF39C4">
            <w:pPr>
              <w:jc w:val="center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3rd Party Checks</w:t>
            </w:r>
          </w:p>
        </w:tc>
        <w:tc>
          <w:tcPr>
            <w:tcW w:w="1350" w:type="dxa"/>
          </w:tcPr>
          <w:p w:rsidR="00307806" w:rsidRPr="00130A73" w:rsidRDefault="00307806" w:rsidP="00BF39C4">
            <w:pPr>
              <w:jc w:val="center"/>
              <w:rPr>
                <w:sz w:val="24"/>
                <w:szCs w:val="24"/>
              </w:rPr>
            </w:pPr>
            <w:proofErr w:type="spellStart"/>
            <w:r w:rsidRPr="00130A73">
              <w:rPr>
                <w:sz w:val="24"/>
                <w:szCs w:val="24"/>
              </w:rPr>
              <w:t>Vanco</w:t>
            </w:r>
            <w:proofErr w:type="spellEnd"/>
            <w:r w:rsidR="000F2972" w:rsidRPr="00130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07806" w:rsidRPr="00130A73" w:rsidRDefault="00307806" w:rsidP="00BF39C4">
            <w:pPr>
              <w:jc w:val="center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Total Deposits</w:t>
            </w:r>
          </w:p>
        </w:tc>
        <w:tc>
          <w:tcPr>
            <w:tcW w:w="1350" w:type="dxa"/>
          </w:tcPr>
          <w:p w:rsidR="00307806" w:rsidRPr="00130A73" w:rsidRDefault="00307806" w:rsidP="00BF39C4">
            <w:pPr>
              <w:jc w:val="center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General Fund use</w:t>
            </w:r>
          </w:p>
        </w:tc>
        <w:tc>
          <w:tcPr>
            <w:tcW w:w="1440" w:type="dxa"/>
          </w:tcPr>
          <w:p w:rsidR="00307806" w:rsidRPr="00130A73" w:rsidRDefault="00307806" w:rsidP="00BF39C4">
            <w:pPr>
              <w:jc w:val="center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All Other Funds use</w:t>
            </w:r>
          </w:p>
        </w:tc>
      </w:tr>
      <w:tr w:rsidR="00307806" w:rsidRPr="00130A73" w:rsidTr="00A83A24">
        <w:tc>
          <w:tcPr>
            <w:tcW w:w="1420" w:type="dxa"/>
            <w:tcBorders>
              <w:top w:val="single" w:sz="4" w:space="0" w:color="auto"/>
            </w:tcBorders>
          </w:tcPr>
          <w:p w:rsidR="00307806" w:rsidRPr="00130A73" w:rsidRDefault="00307806" w:rsidP="00BF39C4">
            <w:pPr>
              <w:ind w:left="38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YTD 2020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$68,567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$40,116</w:t>
            </w:r>
          </w:p>
        </w:tc>
        <w:tc>
          <w:tcPr>
            <w:tcW w:w="1350" w:type="dxa"/>
            <w:vAlign w:val="center"/>
          </w:tcPr>
          <w:p w:rsidR="00307806" w:rsidRPr="00130A73" w:rsidRDefault="00307806" w:rsidP="00A83A24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$168,432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$277,115</w:t>
            </w:r>
          </w:p>
        </w:tc>
        <w:tc>
          <w:tcPr>
            <w:tcW w:w="1350" w:type="dxa"/>
            <w:vAlign w:val="center"/>
          </w:tcPr>
          <w:p w:rsidR="00307806" w:rsidRPr="00130A73" w:rsidRDefault="00307806" w:rsidP="00A83A24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$253,568</w:t>
            </w:r>
          </w:p>
        </w:tc>
        <w:tc>
          <w:tcPr>
            <w:tcW w:w="1440" w:type="dxa"/>
            <w:vAlign w:val="center"/>
          </w:tcPr>
          <w:p w:rsidR="00307806" w:rsidRPr="00130A73" w:rsidRDefault="00307806" w:rsidP="00A83A24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$23,547</w:t>
            </w:r>
          </w:p>
        </w:tc>
      </w:tr>
      <w:tr w:rsidR="00307806" w:rsidRPr="00130A73" w:rsidTr="00307806">
        <w:tc>
          <w:tcPr>
            <w:tcW w:w="1420" w:type="dxa"/>
          </w:tcPr>
          <w:p w:rsidR="00307806" w:rsidRPr="00130A73" w:rsidRDefault="00307806" w:rsidP="00BF39C4">
            <w:pPr>
              <w:ind w:left="38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YTD 2019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$105,853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$41,498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$164,125</w:t>
            </w:r>
          </w:p>
        </w:tc>
        <w:tc>
          <w:tcPr>
            <w:tcW w:w="1350" w:type="dxa"/>
            <w:vAlign w:val="center"/>
          </w:tcPr>
          <w:p w:rsidR="00307806" w:rsidRPr="00130A73" w:rsidRDefault="00307806" w:rsidP="00A83A24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$311,476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$258,201</w:t>
            </w:r>
          </w:p>
        </w:tc>
        <w:tc>
          <w:tcPr>
            <w:tcW w:w="144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sz w:val="24"/>
                <w:szCs w:val="24"/>
              </w:rPr>
              <w:t>$53,275</w:t>
            </w:r>
          </w:p>
        </w:tc>
      </w:tr>
      <w:tr w:rsidR="00307806" w:rsidRPr="00130A73" w:rsidTr="00E15BFA">
        <w:tc>
          <w:tcPr>
            <w:tcW w:w="1420" w:type="dxa"/>
          </w:tcPr>
          <w:p w:rsidR="00307806" w:rsidRPr="00130A73" w:rsidRDefault="00307806" w:rsidP="00BF39C4">
            <w:pPr>
              <w:ind w:left="38"/>
              <w:rPr>
                <w:sz w:val="24"/>
                <w:szCs w:val="24"/>
              </w:rPr>
            </w:pPr>
            <w:r w:rsidRPr="00130A73">
              <w:rPr>
                <w:sz w:val="24"/>
                <w:szCs w:val="24"/>
              </w:rPr>
              <w:t>Change</w:t>
            </w:r>
          </w:p>
        </w:tc>
        <w:tc>
          <w:tcPr>
            <w:tcW w:w="1350" w:type="dxa"/>
            <w:vAlign w:val="center"/>
          </w:tcPr>
          <w:p w:rsidR="00307806" w:rsidRPr="00130A73" w:rsidRDefault="00307806" w:rsidP="00A83A24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-$37,286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color w:val="FF0000"/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-$1,382</w:t>
            </w:r>
          </w:p>
        </w:tc>
        <w:tc>
          <w:tcPr>
            <w:tcW w:w="1350" w:type="dxa"/>
          </w:tcPr>
          <w:p w:rsidR="00307806" w:rsidRPr="00130A73" w:rsidRDefault="00A83A24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+</w:t>
            </w:r>
            <w:r w:rsidR="00307806" w:rsidRPr="00130A7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$4,307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-$34,361</w:t>
            </w:r>
          </w:p>
        </w:tc>
        <w:tc>
          <w:tcPr>
            <w:tcW w:w="135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-$4,633</w:t>
            </w:r>
          </w:p>
        </w:tc>
        <w:tc>
          <w:tcPr>
            <w:tcW w:w="1440" w:type="dxa"/>
          </w:tcPr>
          <w:p w:rsidR="00307806" w:rsidRPr="00130A73" w:rsidRDefault="00307806" w:rsidP="00A83A24">
            <w:pPr>
              <w:jc w:val="center"/>
              <w:rPr>
                <w:sz w:val="24"/>
                <w:szCs w:val="24"/>
              </w:rPr>
            </w:pPr>
            <w:r w:rsidRPr="00130A73"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</w:rPr>
              <w:t>-$29,728</w:t>
            </w:r>
          </w:p>
        </w:tc>
      </w:tr>
    </w:tbl>
    <w:p w:rsidR="00E86776" w:rsidRPr="00130A73" w:rsidRDefault="00A83A24">
      <w:pPr>
        <w:ind w:left="38"/>
        <w:rPr>
          <w:sz w:val="24"/>
          <w:szCs w:val="24"/>
        </w:rPr>
      </w:pPr>
      <w:r w:rsidRPr="00130A73">
        <w:rPr>
          <w:sz w:val="24"/>
          <w:szCs w:val="24"/>
        </w:rPr>
        <w:t xml:space="preserve">These numbers are remarkably good considering the lack of person-person contact and the inability to complete so many projects both inside and outside the doors of Joy.  Plate offering and “other funds use” are lower as expected </w:t>
      </w:r>
      <w:r w:rsidR="005D6A79" w:rsidRPr="00130A73">
        <w:rPr>
          <w:sz w:val="24"/>
          <w:szCs w:val="24"/>
        </w:rPr>
        <w:t>they would be, but look at 3</w:t>
      </w:r>
      <w:r w:rsidR="005D6A79" w:rsidRPr="00130A73">
        <w:rPr>
          <w:sz w:val="24"/>
          <w:szCs w:val="24"/>
          <w:vertAlign w:val="superscript"/>
        </w:rPr>
        <w:t>rd</w:t>
      </w:r>
      <w:r w:rsidR="005D6A79" w:rsidRPr="00130A73">
        <w:rPr>
          <w:sz w:val="24"/>
          <w:szCs w:val="24"/>
        </w:rPr>
        <w:t xml:space="preserve"> party, </w:t>
      </w:r>
      <w:proofErr w:type="spellStart"/>
      <w:r w:rsidR="005D6A79" w:rsidRPr="00130A73">
        <w:rPr>
          <w:sz w:val="24"/>
          <w:szCs w:val="24"/>
        </w:rPr>
        <w:t>Vanco</w:t>
      </w:r>
      <w:proofErr w:type="spellEnd"/>
      <w:r w:rsidR="005D6A79" w:rsidRPr="00130A73">
        <w:rPr>
          <w:sz w:val="24"/>
          <w:szCs w:val="24"/>
        </w:rPr>
        <w:t xml:space="preserve"> and </w:t>
      </w:r>
      <w:r w:rsidR="00594E68" w:rsidRPr="00130A73">
        <w:rPr>
          <w:sz w:val="24"/>
          <w:szCs w:val="24"/>
        </w:rPr>
        <w:t>“</w:t>
      </w:r>
      <w:r w:rsidR="005D6A79" w:rsidRPr="00130A73">
        <w:rPr>
          <w:sz w:val="24"/>
          <w:szCs w:val="24"/>
        </w:rPr>
        <w:t>general fund</w:t>
      </w:r>
      <w:r w:rsidR="00594E68" w:rsidRPr="00130A73">
        <w:rPr>
          <w:sz w:val="24"/>
          <w:szCs w:val="24"/>
        </w:rPr>
        <w:t xml:space="preserve"> use”</w:t>
      </w:r>
      <w:r w:rsidR="005D6A79" w:rsidRPr="00130A73">
        <w:rPr>
          <w:sz w:val="24"/>
          <w:szCs w:val="24"/>
        </w:rPr>
        <w:t xml:space="preserve"> and they are extremely impressive. The other fact to see here is that the % of funds that come in automatically (3</w:t>
      </w:r>
      <w:r w:rsidR="005D6A79" w:rsidRPr="00130A73">
        <w:rPr>
          <w:sz w:val="24"/>
          <w:szCs w:val="24"/>
          <w:vertAlign w:val="superscript"/>
        </w:rPr>
        <w:t>rd</w:t>
      </w:r>
      <w:r w:rsidR="005D6A79" w:rsidRPr="00130A73">
        <w:rPr>
          <w:sz w:val="24"/>
          <w:szCs w:val="24"/>
        </w:rPr>
        <w:t xml:space="preserve"> party &amp; </w:t>
      </w:r>
      <w:proofErr w:type="spellStart"/>
      <w:r w:rsidR="005D6A79" w:rsidRPr="00130A73">
        <w:rPr>
          <w:sz w:val="24"/>
          <w:szCs w:val="24"/>
        </w:rPr>
        <w:t>Vanco</w:t>
      </w:r>
      <w:proofErr w:type="spellEnd"/>
      <w:r w:rsidR="005D6A79" w:rsidRPr="00130A73">
        <w:rPr>
          <w:sz w:val="24"/>
          <w:szCs w:val="24"/>
        </w:rPr>
        <w:t>) ha</w:t>
      </w:r>
      <w:r w:rsidR="00E538AC" w:rsidRPr="00130A73">
        <w:rPr>
          <w:sz w:val="24"/>
          <w:szCs w:val="24"/>
        </w:rPr>
        <w:t>s</w:t>
      </w:r>
      <w:r w:rsidR="005D6A79" w:rsidRPr="00130A73">
        <w:rPr>
          <w:sz w:val="24"/>
          <w:szCs w:val="24"/>
        </w:rPr>
        <w:t xml:space="preserve"> increased </w:t>
      </w:r>
      <w:r w:rsidR="00E538AC" w:rsidRPr="00130A73">
        <w:rPr>
          <w:sz w:val="24"/>
          <w:szCs w:val="24"/>
        </w:rPr>
        <w:t>to</w:t>
      </w:r>
      <w:r w:rsidR="005D6A79" w:rsidRPr="00130A73">
        <w:rPr>
          <w:sz w:val="24"/>
          <w:szCs w:val="24"/>
        </w:rPr>
        <w:t xml:space="preserve"> 75% from 66% and that has been a huge factor in keeping Joy in a good financial position. </w:t>
      </w:r>
      <w:r w:rsidR="00594E68" w:rsidRPr="00130A73">
        <w:rPr>
          <w:sz w:val="24"/>
          <w:szCs w:val="24"/>
        </w:rPr>
        <w:t>You all have done a tremendous job and we thank you very much.  God bless.</w:t>
      </w:r>
    </w:p>
    <w:p w:rsidR="00A83A24" w:rsidRPr="00130A73" w:rsidRDefault="00A83A24">
      <w:pPr>
        <w:ind w:left="38"/>
        <w:rPr>
          <w:sz w:val="24"/>
          <w:szCs w:val="24"/>
        </w:rPr>
      </w:pPr>
    </w:p>
    <w:p w:rsidR="00A83A24" w:rsidRPr="00130A73" w:rsidRDefault="00A83A24">
      <w:pPr>
        <w:ind w:left="38"/>
        <w:rPr>
          <w:sz w:val="24"/>
          <w:szCs w:val="24"/>
        </w:rPr>
      </w:pPr>
    </w:p>
    <w:p w:rsidR="00A83A24" w:rsidRPr="00130A73" w:rsidRDefault="00A83A24">
      <w:pPr>
        <w:ind w:left="38"/>
        <w:rPr>
          <w:sz w:val="24"/>
          <w:szCs w:val="24"/>
        </w:rPr>
      </w:pPr>
    </w:p>
    <w:p w:rsidR="00862666" w:rsidRPr="00130A73" w:rsidRDefault="00862666">
      <w:pPr>
        <w:ind w:left="38"/>
        <w:rPr>
          <w:sz w:val="24"/>
          <w:szCs w:val="24"/>
        </w:rPr>
      </w:pPr>
    </w:p>
    <w:sectPr w:rsidR="00862666" w:rsidRPr="00130A73" w:rsidSect="00E86776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373B"/>
    <w:multiLevelType w:val="hybridMultilevel"/>
    <w:tmpl w:val="3A9E4BE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71D95E8C"/>
    <w:multiLevelType w:val="hybridMultilevel"/>
    <w:tmpl w:val="E4D0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C83"/>
    <w:rsid w:val="000F2972"/>
    <w:rsid w:val="0011064B"/>
    <w:rsid w:val="00130A73"/>
    <w:rsid w:val="00307806"/>
    <w:rsid w:val="004A4C83"/>
    <w:rsid w:val="00500BD2"/>
    <w:rsid w:val="00594E68"/>
    <w:rsid w:val="005D6A79"/>
    <w:rsid w:val="00613A0E"/>
    <w:rsid w:val="0065221E"/>
    <w:rsid w:val="00862666"/>
    <w:rsid w:val="00927B69"/>
    <w:rsid w:val="00957CD6"/>
    <w:rsid w:val="00A34DC5"/>
    <w:rsid w:val="00A83A24"/>
    <w:rsid w:val="00B07284"/>
    <w:rsid w:val="00BF39C4"/>
    <w:rsid w:val="00C24487"/>
    <w:rsid w:val="00DD754A"/>
    <w:rsid w:val="00E538AC"/>
    <w:rsid w:val="00E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00BFD-DB50-4111-9575-7F0BB61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83"/>
    <w:pPr>
      <w:ind w:left="720"/>
      <w:contextualSpacing/>
    </w:pPr>
  </w:style>
  <w:style w:type="table" w:styleId="TableGrid">
    <w:name w:val="Table Grid"/>
    <w:basedOn w:val="TableNormal"/>
    <w:uiPriority w:val="59"/>
    <w:rsid w:val="00BF39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6</cp:revision>
  <dcterms:created xsi:type="dcterms:W3CDTF">2020-11-18T19:30:00Z</dcterms:created>
  <dcterms:modified xsi:type="dcterms:W3CDTF">2020-11-18T23:22:00Z</dcterms:modified>
</cp:coreProperties>
</file>